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D77D30" w14:paraId="793BF8C7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79CE64E" w14:textId="77777777" w:rsidR="00D77D30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D77D30" w14:paraId="4A6F7764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3DE36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307118" w14:textId="77777777" w:rsidR="00D77D30" w:rsidRDefault="00D77D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D77D30" w14:paraId="56E99397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4410B8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423112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14B4A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092483A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1BF3CD66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CFDC60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16462485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312E1070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B75AD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7E73D1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D77D30" w14:paraId="6D35FAC7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3967BC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4D8956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A939E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21DD30A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68ACAF60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E288F5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6FAD0D5F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5CE6E4B4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0E0BC83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5A4F78DF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D0E225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F809157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42547FA9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3EB2540E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30BBE5FC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DCF068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FFA71C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ADB81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C83A0C9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2CC9E2C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372B968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3FA1D9" w14:textId="1508227B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0D266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Tomanová </w:t>
            </w:r>
            <w:proofErr w:type="spellStart"/>
            <w:r w:rsidR="000D266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Čergeťová</w:t>
            </w:r>
            <w:proofErr w:type="spellEnd"/>
          </w:p>
        </w:tc>
        <w:tc>
          <w:tcPr>
            <w:tcW w:w="312" w:type="dxa"/>
            <w:vAlign w:val="center"/>
          </w:tcPr>
          <w:p w14:paraId="4B30DE38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7366860E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80D1334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A68CDB" w14:textId="023E54AC" w:rsidR="00D77D30" w:rsidRDefault="000D2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Ivana</w:t>
            </w:r>
          </w:p>
        </w:tc>
        <w:tc>
          <w:tcPr>
            <w:tcW w:w="312" w:type="dxa"/>
            <w:vAlign w:val="center"/>
          </w:tcPr>
          <w:p w14:paraId="787674AA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164349B8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F31C14B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D13DF9" w14:textId="4FF621E7" w:rsidR="00D77D30" w:rsidRDefault="000D2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PhD., LL.M., MBA, PCIC</w:t>
            </w:r>
          </w:p>
        </w:tc>
        <w:tc>
          <w:tcPr>
            <w:tcW w:w="312" w:type="dxa"/>
            <w:vAlign w:val="center"/>
          </w:tcPr>
          <w:p w14:paraId="60437097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6AB412C8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E6FCACC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C3BB5F" w14:textId="7DBE7F8A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hyperlink r:id="rId13" w:history="1">
              <w:r w:rsidR="000D2669" w:rsidRPr="00EE4448">
                <w:rPr>
                  <w:rStyle w:val="Hyperlink"/>
                  <w:rFonts w:ascii="Calibri" w:eastAsia="Times New Roman" w:hAnsi="Calibri"/>
                  <w:sz w:val="16"/>
                  <w:szCs w:val="16"/>
                  <w:lang w:eastAsia="sk-SK"/>
                </w:rPr>
                <w:t>https://www.portalvs.sk/regzam/detail/29207</w:t>
              </w:r>
            </w:hyperlink>
            <w:r w:rsidR="000D2669"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CF7D506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666C6EAB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416710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1B9392" w14:textId="4DAACDB1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0D266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Psychológia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</w:t>
            </w:r>
            <w:r w:rsidR="000D266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Psychology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III.degree</w:t>
            </w:r>
            <w:proofErr w:type="spellEnd"/>
          </w:p>
        </w:tc>
        <w:tc>
          <w:tcPr>
            <w:tcW w:w="312" w:type="dxa"/>
            <w:vAlign w:val="center"/>
          </w:tcPr>
          <w:p w14:paraId="25F9422D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31B885B9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8DE8A68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70B463" w14:textId="77777777" w:rsidR="00D77D30" w:rsidRDefault="00000000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sz w:val="16"/>
                <w:szCs w:val="16"/>
              </w:rPr>
              <w:t xml:space="preserve">pedagogický výstup / </w:t>
            </w:r>
            <w:proofErr w:type="spellStart"/>
            <w:r>
              <w:rPr>
                <w:sz w:val="16"/>
                <w:szCs w:val="16"/>
              </w:rPr>
              <w:t>pedagogical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14:paraId="4AC5166D" w14:textId="77777777" w:rsidR="00D77D30" w:rsidRDefault="00D77D30">
            <w:pPr>
              <w:pStyle w:val="Normal1"/>
              <w:rPr>
                <w:rFonts w:ascii="Calibri" w:hAnsi="Calibri" w:cs="Calibri"/>
                <w:sz w:val="16"/>
                <w:szCs w:val="16"/>
              </w:rPr>
            </w:pPr>
          </w:p>
          <w:p w14:paraId="05FA32FC" w14:textId="3F872192" w:rsidR="00D77D30" w:rsidRDefault="00FE2E87">
            <w:pPr>
              <w:pStyle w:val="Normal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FE2E87">
              <w:rPr>
                <w:rFonts w:ascii="Calibri" w:hAnsi="Calibri" w:cs="Calibri"/>
                <w:sz w:val="16"/>
                <w:szCs w:val="16"/>
              </w:rPr>
              <w:t xml:space="preserve">Psychológia práce / Ivana Tomanová </w:t>
            </w:r>
            <w:proofErr w:type="spellStart"/>
            <w:r w:rsidRPr="00FE2E87">
              <w:rPr>
                <w:rFonts w:ascii="Calibri" w:hAnsi="Calibri" w:cs="Calibri"/>
                <w:sz w:val="16"/>
                <w:szCs w:val="16"/>
              </w:rPr>
              <w:t>Čergeťová</w:t>
            </w:r>
            <w:proofErr w:type="spellEnd"/>
            <w:r w:rsidRPr="00FE2E87">
              <w:rPr>
                <w:rFonts w:ascii="Calibri" w:hAnsi="Calibri" w:cs="Calibri"/>
                <w:sz w:val="16"/>
                <w:szCs w:val="16"/>
              </w:rPr>
              <w:t xml:space="preserve">. - </w:t>
            </w:r>
            <w:proofErr w:type="spellStart"/>
            <w:r w:rsidRPr="00FE2E87">
              <w:rPr>
                <w:rFonts w:ascii="Calibri" w:hAnsi="Calibri" w:cs="Calibri"/>
                <w:sz w:val="16"/>
                <w:szCs w:val="16"/>
              </w:rPr>
              <w:t>Terezín</w:t>
            </w:r>
            <w:proofErr w:type="spellEnd"/>
            <w:r w:rsidRPr="00FE2E87">
              <w:rPr>
                <w:rFonts w:ascii="Calibri" w:hAnsi="Calibri" w:cs="Calibri"/>
                <w:sz w:val="16"/>
                <w:szCs w:val="16"/>
              </w:rPr>
              <w:t xml:space="preserve"> : Vysoká škola aplikované </w:t>
            </w:r>
            <w:proofErr w:type="spellStart"/>
            <w:r w:rsidRPr="00FE2E87">
              <w:rPr>
                <w:rFonts w:ascii="Calibri" w:hAnsi="Calibri" w:cs="Calibri"/>
                <w:sz w:val="16"/>
                <w:szCs w:val="16"/>
              </w:rPr>
              <w:t>psychologie</w:t>
            </w:r>
            <w:proofErr w:type="spellEnd"/>
            <w:r w:rsidRPr="00FE2E87">
              <w:rPr>
                <w:rFonts w:ascii="Calibri" w:hAnsi="Calibri" w:cs="Calibri"/>
                <w:sz w:val="16"/>
                <w:szCs w:val="16"/>
              </w:rPr>
              <w:t>, 2020. - ISBN 978-80-87871-09-6.</w:t>
            </w:r>
          </w:p>
        </w:tc>
        <w:tc>
          <w:tcPr>
            <w:tcW w:w="312" w:type="dxa"/>
            <w:vAlign w:val="center"/>
          </w:tcPr>
          <w:p w14:paraId="6A82A9C9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755C039C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EEECDCC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59B870" w14:textId="69192F1E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0D266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</w:p>
        </w:tc>
        <w:tc>
          <w:tcPr>
            <w:tcW w:w="312" w:type="dxa"/>
            <w:vAlign w:val="center"/>
          </w:tcPr>
          <w:p w14:paraId="5F059CC4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28B8F83B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0373E7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8244E7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99A1F8A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1344A610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B17B617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B17536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DEA5ED4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60439D34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4BA36C62" w14:textId="77777777" w:rsidR="00D77D30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781CAC2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4C688B" w14:textId="024F716E" w:rsidR="00D77D30" w:rsidRDefault="00D77D30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73535DD5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10ECDB82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F2B23A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5AC28D9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A7D523" w14:textId="718C85A9" w:rsidR="00D77D30" w:rsidRDefault="00FE2E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FE2E87">
              <w:rPr>
                <w:rFonts w:ascii="Calibri" w:hAnsi="Calibri" w:cs="Calibri"/>
                <w:sz w:val="16"/>
                <w:szCs w:val="16"/>
              </w:rPr>
              <w:t xml:space="preserve">Psychológia práce / Ivana Tomanová </w:t>
            </w:r>
            <w:proofErr w:type="spellStart"/>
            <w:r w:rsidRPr="00FE2E87">
              <w:rPr>
                <w:rFonts w:ascii="Calibri" w:hAnsi="Calibri" w:cs="Calibri"/>
                <w:sz w:val="16"/>
                <w:szCs w:val="16"/>
              </w:rPr>
              <w:t>Čergeťová</w:t>
            </w:r>
            <w:proofErr w:type="spellEnd"/>
            <w:r w:rsidRPr="00FE2E87">
              <w:rPr>
                <w:rFonts w:ascii="Calibri" w:hAnsi="Calibri" w:cs="Calibri"/>
                <w:sz w:val="16"/>
                <w:szCs w:val="16"/>
              </w:rPr>
              <w:t xml:space="preserve">. - </w:t>
            </w:r>
            <w:proofErr w:type="spellStart"/>
            <w:r w:rsidRPr="00FE2E87">
              <w:rPr>
                <w:rFonts w:ascii="Calibri" w:hAnsi="Calibri" w:cs="Calibri"/>
                <w:sz w:val="16"/>
                <w:szCs w:val="16"/>
              </w:rPr>
              <w:t>Terezín</w:t>
            </w:r>
            <w:proofErr w:type="spellEnd"/>
            <w:r w:rsidRPr="00FE2E87">
              <w:rPr>
                <w:rFonts w:ascii="Calibri" w:hAnsi="Calibri" w:cs="Calibri"/>
                <w:sz w:val="16"/>
                <w:szCs w:val="16"/>
              </w:rPr>
              <w:t xml:space="preserve"> : Vysoká škola aplikované </w:t>
            </w:r>
            <w:proofErr w:type="spellStart"/>
            <w:r w:rsidRPr="00FE2E87">
              <w:rPr>
                <w:rFonts w:ascii="Calibri" w:hAnsi="Calibri" w:cs="Calibri"/>
                <w:sz w:val="16"/>
                <w:szCs w:val="16"/>
              </w:rPr>
              <w:t>psychologie</w:t>
            </w:r>
            <w:proofErr w:type="spellEnd"/>
            <w:r w:rsidRPr="00FE2E87">
              <w:rPr>
                <w:rFonts w:ascii="Calibri" w:hAnsi="Calibri" w:cs="Calibri"/>
                <w:sz w:val="16"/>
                <w:szCs w:val="16"/>
              </w:rPr>
              <w:t>, 2020. - ISBN 978-80-87871-09-6.</w:t>
            </w:r>
          </w:p>
        </w:tc>
        <w:tc>
          <w:tcPr>
            <w:tcW w:w="312" w:type="dxa"/>
            <w:vAlign w:val="center"/>
          </w:tcPr>
          <w:p w14:paraId="39A8846B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1B25E9E8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ADCD83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BB1F8C6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A1AA23" w14:textId="77777777" w:rsidR="00D77D30" w:rsidRDefault="00000000">
            <w:pPr>
              <w:pStyle w:val="Footnot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učebnica pre vysoké školy / </w:t>
            </w:r>
            <w:proofErr w:type="spellStart"/>
            <w:r>
              <w:rPr>
                <w:sz w:val="16"/>
                <w:szCs w:val="16"/>
              </w:rPr>
              <w:t>university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textbook</w:t>
            </w:r>
            <w:proofErr w:type="spellEnd"/>
          </w:p>
          <w:p w14:paraId="2608AAE7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35911D83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3E2A51F6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8B2F6B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EA6CFF3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8459F8" w14:textId="7191D2CC" w:rsidR="00D77D30" w:rsidRDefault="00D77D30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07C5DE2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558CD698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97204F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BF691D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306576" w14:textId="72121C11" w:rsidR="00D77D30" w:rsidRDefault="00000000">
            <w:pPr>
              <w:pStyle w:val="HTMLPreformatted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</w:t>
            </w:r>
            <w:proofErr w:type="spellStart"/>
            <w:r w:rsid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Tomanová</w:t>
            </w:r>
            <w:proofErr w:type="spellEnd"/>
            <w:proofErr w:type="gramEnd"/>
            <w:r w:rsid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Čergeťová</w:t>
            </w:r>
            <w:proofErr w:type="spellEnd"/>
            <w:r w:rsid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100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0D2669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Tomanova</w:t>
            </w:r>
            <w:proofErr w:type="spellEnd"/>
            <w:r w:rsidR="000D2669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0D2669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Cergetova</w:t>
            </w:r>
            <w:proofErr w:type="spellEnd"/>
            <w:r w:rsidR="000D2669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100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14:paraId="55B1373C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AA0CAB2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301C9E5E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116D72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2A07B4B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A6ADA9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6260F5D3" w14:textId="77777777" w:rsidR="00D77D30" w:rsidRDefault="00D77D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46574805" w14:textId="77777777" w:rsidR="000D2669" w:rsidRPr="000D2669" w:rsidRDefault="000D2669" w:rsidP="000D2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D266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Psychológia práce je študijným odborom, ktorý neustále dosahuje väčší význam v jeho aplikačnej praxi. Prináša zdroj mnohých poznatkov, ktorých základy sú postavené na psychológii ako rozsiahlom vednom odbore. V mnohých oblastiach sa psychológia práce zamieňa s organizačnou psychológiou, či personálnym manažmentom. Avšak tieto disciplíny sa nezameriavajú na psychologické javy tak hlboko, ako je to v prípade psychológie práce. </w:t>
            </w:r>
          </w:p>
          <w:p w14:paraId="1D72C182" w14:textId="77777777" w:rsidR="000D2669" w:rsidRPr="000D2669" w:rsidRDefault="000D2669" w:rsidP="000D2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56765BF6" w14:textId="77777777" w:rsidR="000D2669" w:rsidRPr="000D2669" w:rsidRDefault="000D2669" w:rsidP="000D2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D266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Ponúkaná učebnica </w:t>
            </w:r>
            <w:r w:rsidRPr="000D266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Psychológia práce</w:t>
            </w:r>
            <w:r w:rsidRPr="000D266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je tvorená na základe identifikovania základných kľúčových tém, s ktorými by mal byť študent organizačnej psychológie alebo personálneho manažmentu oboznámený. Základným vedným odborom pre vytvorenie poznatkovej základne je v tomto prípade psychológia s aplikačným pohľadom na praktickú disciplínu psychológia práce. Publikácia je koncipovaná v desiatich kapitolách, ktoré sú rozčlenené do podkapitol v rozsahu od troch do šiestich, pričom sa snažia o komplexné popísanie daného javu z teoretického a praktického pohľadu. </w:t>
            </w:r>
          </w:p>
          <w:p w14:paraId="15B2CE00" w14:textId="77777777" w:rsidR="000D2669" w:rsidRPr="000D2669" w:rsidRDefault="000D2669" w:rsidP="000D2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795A37B" w14:textId="77777777" w:rsidR="000D2669" w:rsidRPr="000D2669" w:rsidRDefault="000D2669" w:rsidP="000D2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D266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Jednotlivé kapitoly sú štrukturálne zložené z úvodného definovania cieľov tematického študijného okruhu a kľúčových pojmov, s ktorými sa čitateľ v texte stretáva. V závere kapitol je pre účely vysokoškolského štúdia pripravené krátke zhrnutie najdôležitejších údajov. Tieto celky uzatvárajú kontrolné otázky a úlohy, na ktoré by mal vedieť pozorný čitateľ po preštudovaní študijného materiálu zodpovedať. Otázky a úlohy navádzajú študenta k ústredným témam, ktoré sa v jednotlivých kapitolách objavujú. </w:t>
            </w:r>
          </w:p>
          <w:p w14:paraId="12AD521F" w14:textId="77777777" w:rsidR="000D2669" w:rsidRPr="000D2669" w:rsidRDefault="000D2669" w:rsidP="000D2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E3417BA" w14:textId="77777777" w:rsidR="000D2669" w:rsidRPr="000D2669" w:rsidRDefault="000D2669" w:rsidP="000D2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D266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Z dôvodu zabezpečenia odbornosti publikácie, je táto učebnica tvorená za pomoci a využitia nielen vlastných skúseností, ale aj odborných textov a štúdií. Zoznam použitej literatúry je uvedený na konci publikácie. Učebnica je recenzovaná dvoma nezávislými recenzentmi, ktorí pôsobia v totožných alebo príbuzných odboroch a pôsobia v akademickej obci. Úvodné slovo v tejto publikácii bolo napísané Doc. PhDr. Dr. </w:t>
            </w:r>
            <w:proofErr w:type="spellStart"/>
            <w:r w:rsidRPr="000D266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Phil</w:t>
            </w:r>
            <w:proofErr w:type="spellEnd"/>
            <w:r w:rsidRPr="000D266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Laura </w:t>
            </w:r>
            <w:proofErr w:type="spellStart"/>
            <w:r w:rsidRPr="000D266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Janáčková</w:t>
            </w:r>
            <w:proofErr w:type="spellEnd"/>
            <w:r w:rsidRPr="000D266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CSc..</w:t>
            </w:r>
          </w:p>
          <w:p w14:paraId="4F7EF158" w14:textId="77777777" w:rsidR="000D2669" w:rsidRPr="000D2669" w:rsidRDefault="000D2669" w:rsidP="000D2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3CC379CB" w14:textId="53FD8E57" w:rsidR="00D77D30" w:rsidRDefault="000D2669" w:rsidP="000D26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D266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Publikáciu vydala Vysoká škola aplikovanej psychológie v </w:t>
            </w:r>
            <w:proofErr w:type="spellStart"/>
            <w:r w:rsidRPr="000D266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Terezíne</w:t>
            </w:r>
            <w:proofErr w:type="spellEnd"/>
            <w:r w:rsidRPr="000D266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vo svojom prvom vydaní vo forme vysokoškolskej učebnice. Učebnica bola tlačená v náklade 200 ks v slovenskom jazyku. Všetky autorské práva sú predmetom duševného vlastníctva autora.</w:t>
            </w:r>
          </w:p>
        </w:tc>
        <w:tc>
          <w:tcPr>
            <w:tcW w:w="312" w:type="dxa"/>
            <w:vAlign w:val="center"/>
          </w:tcPr>
          <w:p w14:paraId="322427EE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41B5BA6F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4F44BDF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21F5C6" w14:textId="77777777" w:rsidR="000D2669" w:rsidRPr="000D2669" w:rsidRDefault="000D2669" w:rsidP="000D2669">
            <w:pPr>
              <w:pStyle w:val="HTMLPreformatted"/>
              <w:shd w:val="clear" w:color="auto" w:fill="F8F9FA"/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</w:pP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Organizational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Psychology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field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study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that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constantly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becoming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more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important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in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its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application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practice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.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It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brings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source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many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knowledge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foundations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which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are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based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on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psychology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as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an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extensive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scientific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field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. In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many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areas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organizational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psychology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confused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with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personnel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psychology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or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personnel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management.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However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these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disciplines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do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not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focus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on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psychological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phenomena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as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deeply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as in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case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organizational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psychology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.</w:t>
            </w:r>
          </w:p>
          <w:p w14:paraId="18DE673A" w14:textId="77777777" w:rsidR="000D2669" w:rsidRPr="000D2669" w:rsidRDefault="000D2669" w:rsidP="000D2669">
            <w:pPr>
              <w:pStyle w:val="HTMLPreformatted"/>
              <w:shd w:val="clear" w:color="auto" w:fill="F8F9FA"/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</w:pPr>
          </w:p>
          <w:p w14:paraId="272ADBB0" w14:textId="77777777" w:rsidR="000D2669" w:rsidRPr="000D2669" w:rsidRDefault="000D2669" w:rsidP="000D2669">
            <w:pPr>
              <w:pStyle w:val="HTMLPreformatted"/>
              <w:shd w:val="clear" w:color="auto" w:fill="F8F9FA"/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</w:pP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offered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textbook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Pr="000D2669">
              <w:rPr>
                <w:rFonts w:ascii="Calibri" w:hAnsi="Calibri" w:cs="Calibri"/>
                <w:i/>
                <w:iCs/>
                <w:color w:val="202124"/>
                <w:sz w:val="16"/>
                <w:szCs w:val="16"/>
                <w:shd w:val="clear" w:color="auto" w:fill="F8F9FA"/>
              </w:rPr>
              <w:t>“</w:t>
            </w:r>
            <w:proofErr w:type="spellStart"/>
            <w:r w:rsidRPr="000D2669">
              <w:rPr>
                <w:rFonts w:ascii="Calibri" w:hAnsi="Calibri" w:cs="Calibri"/>
                <w:i/>
                <w:iCs/>
                <w:color w:val="202124"/>
                <w:sz w:val="16"/>
                <w:szCs w:val="16"/>
                <w:shd w:val="clear" w:color="auto" w:fill="F8F9FA"/>
              </w:rPr>
              <w:t>Organizational</w:t>
            </w:r>
            <w:proofErr w:type="spellEnd"/>
            <w:r w:rsidRPr="000D2669">
              <w:rPr>
                <w:rFonts w:ascii="Calibri" w:hAnsi="Calibri" w:cs="Calibri"/>
                <w:i/>
                <w:iCs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i/>
                <w:iCs/>
                <w:color w:val="202124"/>
                <w:sz w:val="16"/>
                <w:szCs w:val="16"/>
                <w:shd w:val="clear" w:color="auto" w:fill="F8F9FA"/>
              </w:rPr>
              <w:t>Psychology</w:t>
            </w:r>
            <w:proofErr w:type="spellEnd"/>
            <w:r w:rsidRPr="000D2669">
              <w:rPr>
                <w:rFonts w:ascii="Calibri" w:hAnsi="Calibri" w:cs="Calibri"/>
                <w:i/>
                <w:iCs/>
                <w:color w:val="202124"/>
                <w:sz w:val="16"/>
                <w:szCs w:val="16"/>
                <w:shd w:val="clear" w:color="auto" w:fill="F8F9FA"/>
              </w:rPr>
              <w:t>”</w:t>
            </w:r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created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on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basis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identifying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basic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key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topics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with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which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student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organizational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psychology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or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personnel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management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should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be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acquainted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.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basic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scientific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field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for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creating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knowledge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base in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this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case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psychology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with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an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applied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view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practical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discipline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work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psychology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.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publication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designed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in ten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chapters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which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are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divided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into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subchapters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ranging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from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three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to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six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trying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to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provide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comprehensive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description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phenomenon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from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theoretical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and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practical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point of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view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.</w:t>
            </w:r>
          </w:p>
          <w:p w14:paraId="323AAA95" w14:textId="77777777" w:rsidR="000D2669" w:rsidRPr="000D2669" w:rsidRDefault="000D2669" w:rsidP="000D2669">
            <w:pPr>
              <w:pStyle w:val="HTMLPreformatted"/>
              <w:shd w:val="clear" w:color="auto" w:fill="F8F9FA"/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</w:pPr>
          </w:p>
          <w:p w14:paraId="0FAEE016" w14:textId="77777777" w:rsidR="000D2669" w:rsidRPr="000D2669" w:rsidRDefault="000D2669" w:rsidP="000D2669">
            <w:pPr>
              <w:pStyle w:val="HTMLPreformatted"/>
              <w:shd w:val="clear" w:color="auto" w:fill="F8F9FA"/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</w:pP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individual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chapters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are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structurally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composed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an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initial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definition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objectives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thematic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study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area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and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key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concepts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that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reader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encounters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in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text. At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end of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chapters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a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brief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summary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most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important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data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prepared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for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purposes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university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study.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These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units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close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control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questions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and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tasks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that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attentive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reader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should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be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able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to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answer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after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studying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study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material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.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questions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and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tasks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lead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student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to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central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topics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that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appear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in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individual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chapters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.</w:t>
            </w:r>
          </w:p>
          <w:p w14:paraId="42D76A2F" w14:textId="77777777" w:rsidR="000D2669" w:rsidRPr="000D2669" w:rsidRDefault="000D2669" w:rsidP="000D2669">
            <w:pPr>
              <w:pStyle w:val="HTMLPreformatted"/>
              <w:shd w:val="clear" w:color="auto" w:fill="F8F9FA"/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</w:pPr>
          </w:p>
          <w:p w14:paraId="5D115DC5" w14:textId="77777777" w:rsidR="000D2669" w:rsidRPr="000D2669" w:rsidRDefault="000D2669" w:rsidP="000D2669">
            <w:pPr>
              <w:pStyle w:val="HTMLPreformatted"/>
              <w:shd w:val="clear" w:color="auto" w:fill="F8F9FA"/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</w:pPr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In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order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to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ensure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professionalism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publication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this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textbook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created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with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help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and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use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not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only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their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own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experience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but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also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professional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texts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and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studies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. A list of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used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literature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given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at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end of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publication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.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textbook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reviewed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by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two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independent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reviewers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who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work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in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identical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or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related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fields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and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work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in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academic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community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.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introductory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word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in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this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publication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was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written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Doc. PhDr. Dr.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Phil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. Laura </w:t>
            </w:r>
            <w:proofErr w:type="spellStart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Janáčková</w:t>
            </w:r>
            <w:proofErr w:type="spellEnd"/>
            <w:r w:rsidRPr="000D2669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, CSc..</w:t>
            </w:r>
          </w:p>
          <w:p w14:paraId="7E474074" w14:textId="77777777" w:rsidR="000D2669" w:rsidRPr="000D2669" w:rsidRDefault="000D2669" w:rsidP="000D2669">
            <w:pPr>
              <w:pStyle w:val="HTMLPreformatted"/>
              <w:shd w:val="clear" w:color="auto" w:fill="F8F9FA"/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</w:pPr>
          </w:p>
          <w:p w14:paraId="5EC90247" w14:textId="0E80A5F1" w:rsidR="00D77D30" w:rsidRDefault="000D2669" w:rsidP="000D2669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The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publication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was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published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by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the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University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of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Applied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Psychology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in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Terezín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in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its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first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edition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in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the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form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of a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university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textbook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.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The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textbook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was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printed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in a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volume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of 200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copies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in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the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Slovak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language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.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All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copyrights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as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the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owner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of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this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book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of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intellectual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property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belong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 xml:space="preserve"> to PhDr. Ivana Tomanová </w:t>
            </w:r>
            <w:proofErr w:type="spellStart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Čergeťová</w:t>
            </w:r>
            <w:proofErr w:type="spellEnd"/>
            <w:r w:rsidRPr="000D2669">
              <w:rPr>
                <w:rFonts w:ascii="Calibri" w:eastAsia="Times New Roman" w:hAnsi="Calibri" w:cs="Calibri"/>
                <w:color w:val="202124"/>
                <w:sz w:val="16"/>
                <w:szCs w:val="16"/>
                <w:shd w:val="clear" w:color="auto" w:fill="F8F9FA"/>
                <w:lang w:eastAsia="sk-SK"/>
              </w:rPr>
              <w:t>, PhD.</w:t>
            </w:r>
          </w:p>
        </w:tc>
        <w:tc>
          <w:tcPr>
            <w:tcW w:w="312" w:type="dxa"/>
            <w:vAlign w:val="center"/>
          </w:tcPr>
          <w:p w14:paraId="6069462B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52B35579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3BE13DB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A1A9CD" w14:textId="77777777" w:rsidR="00FE2E87" w:rsidRPr="00FE2E87" w:rsidRDefault="00FE2E87" w:rsidP="00FE2E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[o3] 2021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The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Magnitude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of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human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Life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in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the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Horizon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of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Socio-Transcendental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understanding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/ Patrik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Maturkanič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. In: Patrik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Maturkanič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&amp; Ivana Tomanová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Čergeťová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(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eds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.).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Spiritual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and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Social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Experience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in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the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Context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of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Modernism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and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Postmodernism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. (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Interdisciplinary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Reading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of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the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Phenomen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).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Morrisville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: Lulu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Publishing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Company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, 2021.</w:t>
            </w:r>
          </w:p>
          <w:p w14:paraId="0EFBD825" w14:textId="77777777" w:rsidR="00FE2E87" w:rsidRPr="00FE2E87" w:rsidRDefault="00FE2E87" w:rsidP="00FE2E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[o3] 2021 Spirituality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from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a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Psychological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Point of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View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/ Štefan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Medzihorský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. In: Patrik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Maturkanič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&amp; Ivana Tomanová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Čergeťová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(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eds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.).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Spiritual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and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Social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Experience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in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the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Context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of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Modernism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and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Postmodernism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. (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Interdisciplinary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Reading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of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the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Phenomen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).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Morrisville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: Lulu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Publishing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Company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, 2021.</w:t>
            </w:r>
          </w:p>
          <w:p w14:paraId="42DF9616" w14:textId="75868420" w:rsidR="00D77D30" w:rsidRPr="00FE2E87" w:rsidRDefault="00FE2E87" w:rsidP="00FE2E8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</w:pPr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[o3] 2021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The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Optimum Profile of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Call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Centre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Employees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Based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on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Attachment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and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Interpersonal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Specifics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in Slovakia / Ivana Tomanová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Čergeťová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. In: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Applied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Psychology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 xml:space="preserve">. - ISSN 2336-8276. - </w:t>
            </w:r>
            <w:proofErr w:type="spellStart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vol</w:t>
            </w:r>
            <w:proofErr w:type="spellEnd"/>
            <w:r w:rsidRPr="00FE2E87">
              <w:rPr>
                <w:rFonts w:ascii="Calibri" w:eastAsia="Times New Roman" w:hAnsi="Calibri" w:cs="Calibri"/>
                <w:sz w:val="16"/>
                <w:szCs w:val="16"/>
                <w:lang w:eastAsia="en-GB"/>
              </w:rPr>
              <w:t>. 6, no. 9 (2021), p. 677-692.</w:t>
            </w:r>
          </w:p>
        </w:tc>
        <w:tc>
          <w:tcPr>
            <w:tcW w:w="312" w:type="dxa"/>
            <w:vAlign w:val="center"/>
          </w:tcPr>
          <w:p w14:paraId="168DA303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162E2D3A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E2E351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A8709C" w14:textId="77777777" w:rsidR="000D2669" w:rsidRPr="000D2669" w:rsidRDefault="000D2669" w:rsidP="000D2669">
            <w:pPr>
              <w:pStyle w:val="HTMLPreformatted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D266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Psychológia práce je aplikovanou vednou disciplínou, ktorá v sebe zahŕňa mnohé oblasti práce v organizáciách jednotlivých sektorov. Z pohľadu praxe je veľmi obľúbenou problematikou, nakoľko sa zameriava na prácu s ľuďmi, ich talentom, potenciálom, úrovňou schopností, zručností, vedomostí a návykov, motiváciou a výkonom, možnosťami rozvoja a pracovnými podmienkami, s ktorými sa pri výkone profesie stretávajú. </w:t>
            </w:r>
          </w:p>
          <w:p w14:paraId="4F376487" w14:textId="53F4DE85" w:rsidR="00D77D30" w:rsidRDefault="000D2669" w:rsidP="000D2669">
            <w:pPr>
              <w:pStyle w:val="HTMLPreformatted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D266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Vo svojej podstate je psychológia práce neustále veľmi aktuálnym vedným odborom s rozsiahlou perspektívou. Ľudstvo samotné sa s prácou, ako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</w:rPr>
              <w:t>jednoou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zo základných aktivít človeka, stretáva od počiatku. S rozvojom pracovných podmienok a zvyšovaním pracovných požiadaviek na obsadzovanie novovznikajúcich pracovných pozícií, študijných odborov a profesií dochádza k neustálemu podnecovaniu výskumu v tejto oblasti. Stále sa otvárajú otázky, ktoré nie sú v psychológii práce zodpovedané napriek niekoľkým desaťročiam práce človeka s človekom a človeka so strojom.</w:t>
            </w:r>
          </w:p>
        </w:tc>
        <w:tc>
          <w:tcPr>
            <w:tcW w:w="312" w:type="dxa"/>
            <w:vAlign w:val="center"/>
          </w:tcPr>
          <w:p w14:paraId="1B188189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77D30" w14:paraId="17030274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489D65A" w14:textId="77777777" w:rsidR="00D77D30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F0EABA" w14:textId="4BFAEEDF" w:rsidR="00D77D30" w:rsidRDefault="000D2669">
            <w:pPr>
              <w:pStyle w:val="HTMLPreformatted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V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publikácii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sa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snažíme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o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priblíženie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základných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pojmov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z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psychológie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práce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ktoré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sú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aplikovateľné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aj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v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súvisiacich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vedných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odboroch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ako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je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manažment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marketing,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pedagogika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teológia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či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etika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Publikácia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je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rozčlenená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do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desiatich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kapitol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v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ktorých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prechádzame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jednotlivými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témami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od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všeobecných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po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špecifické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. V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prvej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kapitole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sa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snažíme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priblížiť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predmet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psychológie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práce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v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systéme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vied a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jej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historický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kontext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Následne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vysvetľujeme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základné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pojmy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ktorými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sú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najmä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pracovná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činnosť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výkon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Ako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kľúčovú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tému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ktorá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sa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spája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s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dynamikou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výkonnosti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prinášame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bližší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pohľad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motiváciu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v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pracovnom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prostredí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. Z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predchádzajúcich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skúseností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vnímame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ako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veľmi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atraktívnu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kapitolu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súvisiacu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s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pracovným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prostredím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štandardami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práce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ktoré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sa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viažu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tému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pracoviska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jeho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uspôsobenia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zamestnancom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Súčasťou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psychológie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práce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je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rovnako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aj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manažment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riadenie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priblíženie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štýlov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vedenia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pracovníkov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</w:t>
            </w:r>
            <w:proofErr w:type="gram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ich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etiky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Samostatne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prinášame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pohľad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hodnotenie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uchádzačov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o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zamestnanie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počas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náboru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ich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výberu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selekcii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následného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rozvoja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počas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realizácie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pracovnej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činnosti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výkonu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pracovných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aktivít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. V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nadväznosti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problematiku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náboru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sa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snažíme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vysvetliť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adaptačné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mechanizmy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v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pracovnom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prostredí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proces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príchodu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alebo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návratu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zamestnanca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do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nového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pracovného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kolektívu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. A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práve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oblasť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spolupráce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medzi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kolegami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popisujeme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v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kapitole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zameranej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budovanie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rozvoj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tímov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. V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neposlednom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rade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prinášame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pohľad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pracovnú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spokojnosť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tému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diskriminácie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šikany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pracovisku</w:t>
            </w:r>
            <w:proofErr w:type="spellEnd"/>
            <w:r w:rsidRPr="000D266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312" w:type="dxa"/>
            <w:vAlign w:val="center"/>
          </w:tcPr>
          <w:p w14:paraId="5369A59B" w14:textId="77777777" w:rsidR="00D77D30" w:rsidRDefault="00D7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6981D921" w14:textId="77777777" w:rsidR="00D77D30" w:rsidRDefault="00D77D30"/>
    <w:sectPr w:rsidR="00D77D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3A539" w14:textId="77777777" w:rsidR="003A0DE4" w:rsidRDefault="003A0DE4">
      <w:pPr>
        <w:spacing w:line="240" w:lineRule="auto"/>
      </w:pPr>
      <w:r>
        <w:separator/>
      </w:r>
    </w:p>
  </w:endnote>
  <w:endnote w:type="continuationSeparator" w:id="0">
    <w:p w14:paraId="6DC7A014" w14:textId="77777777" w:rsidR="003A0DE4" w:rsidRDefault="003A0D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Microsoft YaHei"/>
    <w:panose1 w:val="020B0604020202020204"/>
    <w:charset w:val="86"/>
    <w:family w:val="auto"/>
    <w:pitch w:val="default"/>
    <w:sig w:usb0="E0000AFF" w:usb1="500078FF" w:usb2="00000021" w:usb3="00000000" w:csb0="600001BF" w:csb1="DFF7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3D352" w14:textId="77777777" w:rsidR="003A0DE4" w:rsidRDefault="003A0DE4">
      <w:pPr>
        <w:spacing w:after="0"/>
      </w:pPr>
      <w:r>
        <w:separator/>
      </w:r>
    </w:p>
  </w:footnote>
  <w:footnote w:type="continuationSeparator" w:id="0">
    <w:p w14:paraId="1F431F3A" w14:textId="77777777" w:rsidR="003A0DE4" w:rsidRDefault="003A0DE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632B3B67"/>
    <w:multiLevelType w:val="multilevel"/>
    <w:tmpl w:val="50F2D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747786">
    <w:abstractNumId w:val="0"/>
  </w:num>
  <w:num w:numId="2" w16cid:durableId="14968461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D2669"/>
    <w:rsid w:val="00190A9C"/>
    <w:rsid w:val="00211BB7"/>
    <w:rsid w:val="00341DDA"/>
    <w:rsid w:val="003A0DE4"/>
    <w:rsid w:val="004C0ADE"/>
    <w:rsid w:val="0073261A"/>
    <w:rsid w:val="00AE75DA"/>
    <w:rsid w:val="00D77D30"/>
    <w:rsid w:val="00FE2E87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73C67B"/>
  <w15:docId w15:val="{88FF5A5B-9386-114F-93F1-9489F1B94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SK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Heading1">
    <w:name w:val="heading 1"/>
    <w:next w:val="Normal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HTMLPreformatted">
    <w:name w:val="HTML Preformatted"/>
    <w:basedOn w:val="Normal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link">
    <w:name w:val="Hyperlink"/>
    <w:basedOn w:val="DefaultParagraphFont"/>
    <w:uiPriority w:val="99"/>
    <w:unhideWhenUsed/>
    <w:qFormat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qFormat/>
    <w:rPr>
      <w:sz w:val="24"/>
      <w:szCs w:val="24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0D266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D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29207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2105</Words>
  <Characters>12000</Characters>
  <Application>Microsoft Office Word</Application>
  <DocSecurity>0</DocSecurity>
  <Lines>100</Lines>
  <Paragraphs>28</Paragraphs>
  <ScaleCrop>false</ScaleCrop>
  <Company/>
  <LinksUpToDate>false</LinksUpToDate>
  <CharactersWithSpaces>14077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Ivana Cergetova</cp:lastModifiedBy>
  <cp:revision>4</cp:revision>
  <dcterms:created xsi:type="dcterms:W3CDTF">2023-08-18T16:04:00Z</dcterms:created>
  <dcterms:modified xsi:type="dcterms:W3CDTF">2023-08-18T16:18:00Z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